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ED204" w14:textId="77777777" w:rsidR="00036E55" w:rsidRDefault="009A5ADF" w:rsidP="00730E36">
      <w:pPr>
        <w:pStyle w:val="Title"/>
        <w:jc w:val="center"/>
      </w:pPr>
      <w:r>
        <w:t>Job Profile</w:t>
      </w:r>
    </w:p>
    <w:tbl>
      <w:tblPr>
        <w:tblW w:w="9894" w:type="dxa"/>
        <w:tblLook w:val="0000" w:firstRow="0" w:lastRow="0" w:firstColumn="0" w:lastColumn="0" w:noHBand="0" w:noVBand="0"/>
      </w:tblPr>
      <w:tblGrid>
        <w:gridCol w:w="3419"/>
        <w:gridCol w:w="6475"/>
      </w:tblGrid>
      <w:tr w:rsidR="00BA2351" w14:paraId="48B32FB8" w14:textId="77777777" w:rsidTr="66AA0AFC">
        <w:trPr>
          <w:trHeight w:val="656"/>
        </w:trPr>
        <w:tc>
          <w:tcPr>
            <w:tcW w:w="3419" w:type="dxa"/>
            <w:vAlign w:val="center"/>
          </w:tcPr>
          <w:p w14:paraId="1C902822" w14:textId="77777777" w:rsidR="00036E55" w:rsidRPr="00730E36" w:rsidRDefault="009A5ADF" w:rsidP="00C528CD">
            <w:pPr>
              <w:spacing w:after="0" w:line="240" w:lineRule="auto"/>
              <w:rPr>
                <w:b/>
                <w:color w:val="786458"/>
                <w:szCs w:val="24"/>
              </w:rPr>
            </w:pPr>
            <w:r w:rsidRPr="00730E36">
              <w:rPr>
                <w:b/>
                <w:color w:val="786458" w:themeColor="accent2"/>
                <w:szCs w:val="24"/>
              </w:rPr>
              <w:t>Job Title:</w:t>
            </w:r>
          </w:p>
        </w:tc>
        <w:tc>
          <w:tcPr>
            <w:tcW w:w="6475" w:type="dxa"/>
            <w:vAlign w:val="center"/>
          </w:tcPr>
          <w:p w14:paraId="61605BEB" w14:textId="6B2B3143" w:rsidR="00036E55" w:rsidRPr="00730E36" w:rsidRDefault="66AA0AFC" w:rsidP="66AA0AFC">
            <w:pPr>
              <w:spacing w:after="0" w:line="240" w:lineRule="auto"/>
              <w:rPr>
                <w:color w:val="54585A" w:themeColor="accent6"/>
              </w:rPr>
            </w:pPr>
            <w:r w:rsidRPr="66AA0AFC">
              <w:rPr>
                <w:color w:val="54585A" w:themeColor="accent6"/>
              </w:rPr>
              <w:t>Senior Development Manager</w:t>
            </w:r>
          </w:p>
        </w:tc>
      </w:tr>
      <w:tr w:rsidR="00BA2351" w14:paraId="720DE6A0" w14:textId="77777777" w:rsidTr="66AA0AFC">
        <w:trPr>
          <w:trHeight w:val="656"/>
        </w:trPr>
        <w:tc>
          <w:tcPr>
            <w:tcW w:w="3419" w:type="dxa"/>
            <w:vAlign w:val="center"/>
          </w:tcPr>
          <w:p w14:paraId="1D3A8E85" w14:textId="77777777" w:rsidR="00036E55" w:rsidRPr="00730E36" w:rsidRDefault="009A5ADF" w:rsidP="00C528CD">
            <w:pPr>
              <w:spacing w:after="0" w:line="240" w:lineRule="auto"/>
              <w:rPr>
                <w:b/>
                <w:color w:val="786458"/>
                <w:szCs w:val="24"/>
              </w:rPr>
            </w:pPr>
            <w:r w:rsidRPr="00730E36">
              <w:rPr>
                <w:b/>
                <w:color w:val="786458" w:themeColor="accent2"/>
                <w:szCs w:val="24"/>
              </w:rPr>
              <w:t>Department:</w:t>
            </w:r>
          </w:p>
        </w:tc>
        <w:tc>
          <w:tcPr>
            <w:tcW w:w="6475" w:type="dxa"/>
            <w:vAlign w:val="center"/>
          </w:tcPr>
          <w:p w14:paraId="6A7A54A3" w14:textId="0ABF4E9F" w:rsidR="00036E55" w:rsidRPr="00730E36" w:rsidRDefault="009A5ADF" w:rsidP="00C528CD">
            <w:pPr>
              <w:spacing w:after="0" w:line="240" w:lineRule="auto"/>
              <w:rPr>
                <w:color w:val="54585A"/>
                <w:szCs w:val="24"/>
              </w:rPr>
            </w:pPr>
            <w:r>
              <w:rPr>
                <w:color w:val="54585A" w:themeColor="accent1"/>
                <w:szCs w:val="24"/>
              </w:rPr>
              <w:t>Development</w:t>
            </w:r>
            <w:r w:rsidRPr="00730E36">
              <w:rPr>
                <w:color w:val="54585A" w:themeColor="accent1"/>
                <w:szCs w:val="24"/>
              </w:rPr>
              <w:t xml:space="preserve"> </w:t>
            </w:r>
          </w:p>
        </w:tc>
      </w:tr>
      <w:tr w:rsidR="00BA2351" w14:paraId="19582D3C" w14:textId="77777777" w:rsidTr="66AA0AFC">
        <w:trPr>
          <w:trHeight w:val="656"/>
        </w:trPr>
        <w:tc>
          <w:tcPr>
            <w:tcW w:w="3419" w:type="dxa"/>
            <w:vAlign w:val="center"/>
          </w:tcPr>
          <w:p w14:paraId="1A557A2B" w14:textId="77777777" w:rsidR="00036E55" w:rsidRPr="00730E36" w:rsidRDefault="009A5ADF" w:rsidP="00C528CD">
            <w:pPr>
              <w:spacing w:after="0" w:line="240" w:lineRule="auto"/>
              <w:rPr>
                <w:b/>
                <w:color w:val="786458"/>
                <w:szCs w:val="24"/>
              </w:rPr>
            </w:pPr>
            <w:r w:rsidRPr="00730E36">
              <w:rPr>
                <w:b/>
                <w:color w:val="786458" w:themeColor="accent2"/>
                <w:szCs w:val="24"/>
              </w:rPr>
              <w:t>Re</w:t>
            </w:r>
            <w:r w:rsidR="00EF49C7">
              <w:rPr>
                <w:b/>
                <w:color w:val="786458" w:themeColor="accent2"/>
                <w:szCs w:val="24"/>
              </w:rPr>
              <w:t>port</w:t>
            </w:r>
            <w:r w:rsidRPr="00730E36">
              <w:rPr>
                <w:b/>
                <w:color w:val="786458" w:themeColor="accent2"/>
                <w:szCs w:val="24"/>
              </w:rPr>
              <w:t xml:space="preserve"> to:</w:t>
            </w:r>
          </w:p>
        </w:tc>
        <w:tc>
          <w:tcPr>
            <w:tcW w:w="6475" w:type="dxa"/>
            <w:vAlign w:val="center"/>
          </w:tcPr>
          <w:p w14:paraId="5C3C88C7" w14:textId="77777777" w:rsidR="00036E55" w:rsidRPr="00730E36" w:rsidRDefault="009A5ADF" w:rsidP="00730919">
            <w:pPr>
              <w:spacing w:after="0" w:line="240" w:lineRule="auto"/>
              <w:rPr>
                <w:color w:val="54585A"/>
                <w:szCs w:val="24"/>
              </w:rPr>
            </w:pPr>
            <w:r>
              <w:rPr>
                <w:color w:val="54585A" w:themeColor="accent1"/>
                <w:szCs w:val="24"/>
              </w:rPr>
              <w:t xml:space="preserve">Development Director </w:t>
            </w:r>
          </w:p>
        </w:tc>
      </w:tr>
    </w:tbl>
    <w:p w14:paraId="66CC22B2" w14:textId="77777777" w:rsidR="00730E36" w:rsidRPr="007E7CA6" w:rsidRDefault="00482FD9" w:rsidP="00036E55">
      <w:pPr>
        <w:pStyle w:val="Heading2"/>
        <w:rPr>
          <w:color w:val="54585A"/>
          <w:sz w:val="22"/>
          <w:szCs w:val="22"/>
        </w:rPr>
      </w:pPr>
    </w:p>
    <w:p w14:paraId="55ECD2F6" w14:textId="77777777" w:rsidR="00FB13A5" w:rsidRDefault="00FB13A5" w:rsidP="00FB13A5">
      <w:pPr>
        <w:pStyle w:val="Heading2"/>
        <w:rPr>
          <w:rFonts w:eastAsia="Times New Roman"/>
        </w:rPr>
      </w:pPr>
      <w:r>
        <w:rPr>
          <w:rFonts w:eastAsia="Times New Roman"/>
        </w:rPr>
        <w:t>Background</w:t>
      </w:r>
    </w:p>
    <w:p w14:paraId="79660480" w14:textId="77777777" w:rsidR="00FB13A5" w:rsidRDefault="00FB13A5" w:rsidP="00FB13A5">
      <w:pPr>
        <w:spacing w:after="0" w:line="240" w:lineRule="auto"/>
        <w:jc w:val="both"/>
      </w:pPr>
    </w:p>
    <w:p w14:paraId="59C79A3C" w14:textId="77777777" w:rsidR="00FB13A5" w:rsidRPr="00CE6E30" w:rsidRDefault="00FB13A5" w:rsidP="00FB13A5">
      <w:pPr>
        <w:spacing w:after="0" w:line="240" w:lineRule="auto"/>
        <w:jc w:val="both"/>
        <w:rPr>
          <w:rFonts w:cs="Arial"/>
          <w:sz w:val="22"/>
        </w:rPr>
      </w:pPr>
      <w:r w:rsidRPr="00CE6E30">
        <w:rPr>
          <w:rFonts w:cs="Arial"/>
          <w:sz w:val="22"/>
        </w:rPr>
        <w:t xml:space="preserve">Quintain is one of the largest mixed-use developers in Ireland, with a landbank that can accommodate over 9,000 residential units and almost 1m square feet of commercial space. </w:t>
      </w:r>
    </w:p>
    <w:p w14:paraId="06EAC86D" w14:textId="53320924" w:rsidR="00DB2810" w:rsidRPr="00DB2810" w:rsidRDefault="66AA0AFC" w:rsidP="00DB2810">
      <w:pPr>
        <w:spacing w:before="100" w:beforeAutospacing="1" w:after="100" w:afterAutospacing="1"/>
        <w:jc w:val="both"/>
        <w:rPr>
          <w:rFonts w:cs="Arial"/>
          <w:sz w:val="22"/>
        </w:rPr>
      </w:pPr>
      <w:r w:rsidRPr="66AA0AFC">
        <w:rPr>
          <w:rFonts w:cs="Arial"/>
          <w:sz w:val="22"/>
        </w:rPr>
        <w:t xml:space="preserve">To work as part of a small dedicated team, the senior development manager will be expected to lead their own projects across all aspects of the development process including options analysis, financial appraisals, presenting / reporting, planning applications, design development, project delivery, contract negotiations, service charges and liaising with leasing, sales and management teams. </w:t>
      </w:r>
    </w:p>
    <w:p w14:paraId="33104112" w14:textId="3320A871" w:rsidR="00036E55" w:rsidRPr="00730E36" w:rsidRDefault="009A5ADF" w:rsidP="00036E55">
      <w:pPr>
        <w:pStyle w:val="Heading2"/>
        <w:rPr>
          <w:color w:val="786458"/>
          <w:sz w:val="40"/>
          <w:szCs w:val="40"/>
        </w:rPr>
      </w:pPr>
      <w:r w:rsidRPr="00730E36">
        <w:rPr>
          <w:sz w:val="40"/>
          <w:szCs w:val="40"/>
        </w:rPr>
        <w:t>Key Accountabilities:</w:t>
      </w:r>
    </w:p>
    <w:p w14:paraId="119D1E24" w14:textId="77777777" w:rsidR="00036E55" w:rsidRPr="007E7CA6" w:rsidRDefault="00482FD9" w:rsidP="00036E55">
      <w:pPr>
        <w:spacing w:after="0" w:line="240" w:lineRule="auto"/>
        <w:rPr>
          <w:color w:val="786458"/>
          <w:sz w:val="18"/>
          <w:szCs w:val="18"/>
        </w:rPr>
      </w:pPr>
    </w:p>
    <w:p w14:paraId="539A134F" w14:textId="77777777" w:rsidR="00C528CD" w:rsidRPr="00730E36" w:rsidRDefault="66AA0AFC" w:rsidP="00C528CD">
      <w:pPr>
        <w:pStyle w:val="ListBullet"/>
        <w:jc w:val="both"/>
        <w:rPr>
          <w:sz w:val="22"/>
        </w:rPr>
      </w:pPr>
      <w:r w:rsidRPr="66AA0AFC">
        <w:rPr>
          <w:sz w:val="22"/>
        </w:rPr>
        <w:t>Leading on financial analysis/appraisal of development projects and preparing budgets in line with their projects;</w:t>
      </w:r>
    </w:p>
    <w:p w14:paraId="58E39B6F" w14:textId="77777777" w:rsidR="00C528CD" w:rsidRPr="00730E36" w:rsidRDefault="00482FD9" w:rsidP="00C528CD">
      <w:pPr>
        <w:pStyle w:val="ListBullet"/>
        <w:numPr>
          <w:ilvl w:val="0"/>
          <w:numId w:val="0"/>
        </w:numPr>
        <w:ind w:left="794"/>
        <w:jc w:val="both"/>
        <w:rPr>
          <w:sz w:val="22"/>
        </w:rPr>
      </w:pPr>
    </w:p>
    <w:p w14:paraId="2ECED415" w14:textId="77777777" w:rsidR="00C528CD" w:rsidRDefault="66AA0AFC" w:rsidP="00C528CD">
      <w:pPr>
        <w:pStyle w:val="ListBullet"/>
        <w:jc w:val="both"/>
        <w:rPr>
          <w:sz w:val="22"/>
        </w:rPr>
      </w:pPr>
      <w:r w:rsidRPr="66AA0AFC">
        <w:rPr>
          <w:sz w:val="22"/>
        </w:rPr>
        <w:t>Managing external professional teams to deliver planning consents and design against agreed programme timescales and budgets;</w:t>
      </w:r>
    </w:p>
    <w:p w14:paraId="4FAAEC8A" w14:textId="77777777" w:rsidR="001601EF" w:rsidRDefault="00482FD9" w:rsidP="001601EF">
      <w:pPr>
        <w:pStyle w:val="ListParagraph"/>
      </w:pPr>
    </w:p>
    <w:p w14:paraId="6B414BD6" w14:textId="4DB19849" w:rsidR="001601EF" w:rsidRPr="001601EF" w:rsidRDefault="66AA0AFC" w:rsidP="66AA0AFC">
      <w:pPr>
        <w:pStyle w:val="ListBullet"/>
        <w:jc w:val="both"/>
        <w:rPr>
          <w:sz w:val="22"/>
        </w:rPr>
      </w:pPr>
      <w:r w:rsidRPr="66AA0AFC">
        <w:rPr>
          <w:sz w:val="22"/>
        </w:rPr>
        <w:t>Understand existing Planning Consents and negotiate, with the Local Authority, the detailed planning consents for their projects;</w:t>
      </w:r>
    </w:p>
    <w:p w14:paraId="43074B8D" w14:textId="77777777" w:rsidR="001601EF" w:rsidRPr="001601EF" w:rsidRDefault="00482FD9" w:rsidP="001601EF">
      <w:pPr>
        <w:pStyle w:val="ListBullet"/>
        <w:numPr>
          <w:ilvl w:val="0"/>
          <w:numId w:val="0"/>
        </w:numPr>
        <w:ind w:left="360"/>
        <w:jc w:val="both"/>
        <w:rPr>
          <w:sz w:val="22"/>
        </w:rPr>
      </w:pPr>
    </w:p>
    <w:p w14:paraId="09EA2EFA" w14:textId="77777777" w:rsidR="001601EF" w:rsidRDefault="66AA0AFC" w:rsidP="00680DCB">
      <w:pPr>
        <w:pStyle w:val="ListBullet"/>
        <w:jc w:val="both"/>
        <w:rPr>
          <w:sz w:val="22"/>
        </w:rPr>
      </w:pPr>
      <w:r w:rsidRPr="66AA0AFC">
        <w:rPr>
          <w:sz w:val="22"/>
        </w:rPr>
        <w:t>Discharge of planning conditions;</w:t>
      </w:r>
    </w:p>
    <w:p w14:paraId="7818DC9F" w14:textId="77777777" w:rsidR="00680DCB" w:rsidRPr="001601EF" w:rsidRDefault="00482FD9" w:rsidP="00680DCB">
      <w:pPr>
        <w:pStyle w:val="ListBullet"/>
        <w:numPr>
          <w:ilvl w:val="0"/>
          <w:numId w:val="0"/>
        </w:numPr>
        <w:jc w:val="both"/>
        <w:rPr>
          <w:sz w:val="22"/>
        </w:rPr>
      </w:pPr>
    </w:p>
    <w:p w14:paraId="382E7FFB" w14:textId="76A9D161" w:rsidR="00C528CD" w:rsidRPr="00730E36" w:rsidRDefault="66AA0AFC" w:rsidP="66AA0AFC">
      <w:pPr>
        <w:pStyle w:val="ListBullet"/>
        <w:jc w:val="both"/>
        <w:rPr>
          <w:sz w:val="22"/>
        </w:rPr>
      </w:pPr>
      <w:r w:rsidRPr="66AA0AFC">
        <w:rPr>
          <w:sz w:val="22"/>
        </w:rPr>
        <w:t>Working with the project management team to prepare the project for construction;</w:t>
      </w:r>
    </w:p>
    <w:p w14:paraId="6AF08318" w14:textId="77777777" w:rsidR="00EC266C" w:rsidRDefault="00482FD9" w:rsidP="00EF49C7">
      <w:pPr>
        <w:pStyle w:val="ListParagraph"/>
      </w:pPr>
    </w:p>
    <w:p w14:paraId="27E2116D" w14:textId="77777777" w:rsidR="00EC266C" w:rsidRPr="00730E36" w:rsidRDefault="66AA0AFC" w:rsidP="00C528CD">
      <w:pPr>
        <w:pStyle w:val="ListBullet"/>
        <w:jc w:val="both"/>
        <w:rPr>
          <w:sz w:val="22"/>
        </w:rPr>
      </w:pPr>
      <w:r w:rsidRPr="66AA0AFC">
        <w:rPr>
          <w:sz w:val="22"/>
        </w:rPr>
        <w:t>Responsible for commercial inputs and profitability analysis of their projects</w:t>
      </w:r>
    </w:p>
    <w:p w14:paraId="26C3570B" w14:textId="77777777" w:rsidR="00C528CD" w:rsidRPr="00730E36" w:rsidRDefault="00482FD9" w:rsidP="00C528CD">
      <w:pPr>
        <w:pStyle w:val="ListBullet"/>
        <w:numPr>
          <w:ilvl w:val="0"/>
          <w:numId w:val="0"/>
        </w:numPr>
        <w:jc w:val="both"/>
        <w:rPr>
          <w:sz w:val="22"/>
        </w:rPr>
      </w:pPr>
    </w:p>
    <w:p w14:paraId="2EEF0FAC" w14:textId="397ABAE3" w:rsidR="00C528CD" w:rsidRPr="00730E36" w:rsidRDefault="66AA0AFC" w:rsidP="66AA0AFC">
      <w:pPr>
        <w:pStyle w:val="ListBullet"/>
        <w:jc w:val="both"/>
        <w:rPr>
          <w:sz w:val="22"/>
        </w:rPr>
      </w:pPr>
      <w:r w:rsidRPr="66AA0AFC">
        <w:rPr>
          <w:sz w:val="22"/>
        </w:rPr>
        <w:t xml:space="preserve">Liaising and negotiating with third parties including utility providers, Local Authority, AHB’s, stakeholder groups, resident/community groups etc. as necessary; </w:t>
      </w:r>
    </w:p>
    <w:p w14:paraId="243908B0" w14:textId="77777777" w:rsidR="00C528CD" w:rsidRPr="00730E36" w:rsidRDefault="00482FD9" w:rsidP="00C528CD">
      <w:pPr>
        <w:pStyle w:val="ListBullet"/>
        <w:numPr>
          <w:ilvl w:val="0"/>
          <w:numId w:val="0"/>
        </w:numPr>
        <w:jc w:val="both"/>
        <w:rPr>
          <w:sz w:val="22"/>
        </w:rPr>
      </w:pPr>
    </w:p>
    <w:p w14:paraId="3B0EFB30" w14:textId="77777777" w:rsidR="00EC266C" w:rsidRDefault="66AA0AFC" w:rsidP="00EC266C">
      <w:pPr>
        <w:pStyle w:val="ListBullet"/>
        <w:jc w:val="both"/>
        <w:rPr>
          <w:sz w:val="22"/>
        </w:rPr>
      </w:pPr>
      <w:r w:rsidRPr="66AA0AFC">
        <w:rPr>
          <w:sz w:val="22"/>
        </w:rPr>
        <w:t>Liaising and managing the construction partner to ensure on time and on budget delivery of the project;</w:t>
      </w:r>
    </w:p>
    <w:p w14:paraId="48C74391" w14:textId="77777777" w:rsidR="00EC266C" w:rsidRDefault="00482FD9" w:rsidP="00EF49C7">
      <w:pPr>
        <w:pStyle w:val="ListParagraph"/>
      </w:pPr>
    </w:p>
    <w:p w14:paraId="1F77F76E" w14:textId="77777777" w:rsidR="00EC266C" w:rsidRDefault="66AA0AFC" w:rsidP="00EC266C">
      <w:pPr>
        <w:pStyle w:val="ListBullet"/>
        <w:jc w:val="both"/>
        <w:rPr>
          <w:sz w:val="22"/>
        </w:rPr>
      </w:pPr>
      <w:r w:rsidRPr="66AA0AFC">
        <w:rPr>
          <w:sz w:val="22"/>
        </w:rPr>
        <w:t xml:space="preserve">Liaising with the Sales and Marketing manager </w:t>
      </w:r>
      <w:proofErr w:type="gramStart"/>
      <w:r w:rsidRPr="66AA0AFC">
        <w:rPr>
          <w:sz w:val="22"/>
        </w:rPr>
        <w:t>with regard to</w:t>
      </w:r>
      <w:proofErr w:type="gramEnd"/>
      <w:r w:rsidRPr="66AA0AFC">
        <w:rPr>
          <w:sz w:val="22"/>
        </w:rPr>
        <w:t xml:space="preserve"> all aspects of the branding, marketing and sales/leasing of the development;</w:t>
      </w:r>
    </w:p>
    <w:p w14:paraId="5D14B021" w14:textId="26137603" w:rsidR="00EC266C" w:rsidRPr="00EF49C7" w:rsidRDefault="00482FD9" w:rsidP="66AA0AFC">
      <w:pPr>
        <w:pStyle w:val="ListBullet"/>
        <w:numPr>
          <w:ilvl w:val="0"/>
          <w:numId w:val="0"/>
        </w:numPr>
        <w:ind w:left="360"/>
        <w:rPr>
          <w:sz w:val="22"/>
        </w:rPr>
      </w:pPr>
    </w:p>
    <w:p w14:paraId="7DB5C56A" w14:textId="77777777" w:rsidR="00C528CD" w:rsidRPr="00730E36" w:rsidRDefault="66AA0AFC" w:rsidP="00C528CD">
      <w:pPr>
        <w:pStyle w:val="ListBullet"/>
        <w:jc w:val="both"/>
        <w:rPr>
          <w:sz w:val="22"/>
        </w:rPr>
      </w:pPr>
      <w:r w:rsidRPr="66AA0AFC">
        <w:rPr>
          <w:sz w:val="22"/>
        </w:rPr>
        <w:t>Exploiting every opportunity to add value to existing and new developments;</w:t>
      </w:r>
    </w:p>
    <w:p w14:paraId="41637522" w14:textId="77777777" w:rsidR="00C528CD" w:rsidRPr="00730E36" w:rsidRDefault="00482FD9" w:rsidP="00C528CD">
      <w:pPr>
        <w:pStyle w:val="ListBullet"/>
        <w:numPr>
          <w:ilvl w:val="0"/>
          <w:numId w:val="0"/>
        </w:numPr>
        <w:jc w:val="both"/>
        <w:rPr>
          <w:sz w:val="22"/>
        </w:rPr>
      </w:pPr>
    </w:p>
    <w:p w14:paraId="1F917C7C" w14:textId="77777777" w:rsidR="00C528CD" w:rsidRPr="00730E36" w:rsidRDefault="66AA0AFC" w:rsidP="00C528CD">
      <w:pPr>
        <w:pStyle w:val="ListBullet"/>
        <w:jc w:val="both"/>
        <w:rPr>
          <w:sz w:val="22"/>
        </w:rPr>
      </w:pPr>
      <w:r w:rsidRPr="66AA0AFC">
        <w:rPr>
          <w:sz w:val="22"/>
        </w:rPr>
        <w:t>Working with the underwriting team in the preparation of the business case for new acquisitions.</w:t>
      </w:r>
    </w:p>
    <w:p w14:paraId="2B616070" w14:textId="77777777" w:rsidR="00C528CD" w:rsidRPr="00730E36" w:rsidRDefault="00482FD9" w:rsidP="00C528CD">
      <w:pPr>
        <w:pStyle w:val="ListBullet"/>
        <w:numPr>
          <w:ilvl w:val="0"/>
          <w:numId w:val="0"/>
        </w:numPr>
        <w:jc w:val="both"/>
        <w:rPr>
          <w:sz w:val="22"/>
        </w:rPr>
      </w:pPr>
    </w:p>
    <w:p w14:paraId="51BD75CA" w14:textId="77777777" w:rsidR="00C528CD" w:rsidRPr="00730E36" w:rsidRDefault="00482FD9" w:rsidP="00C528CD">
      <w:pPr>
        <w:pStyle w:val="ListParagraph"/>
        <w:rPr>
          <w:szCs w:val="22"/>
        </w:rPr>
      </w:pPr>
    </w:p>
    <w:p w14:paraId="6C5C9CB3" w14:textId="77777777" w:rsidR="00036E55" w:rsidRPr="00730E36" w:rsidRDefault="009A5ADF" w:rsidP="00036E55">
      <w:pPr>
        <w:pStyle w:val="Heading2"/>
        <w:rPr>
          <w:color w:val="786458"/>
          <w:sz w:val="40"/>
          <w:szCs w:val="40"/>
        </w:rPr>
      </w:pPr>
      <w:r w:rsidRPr="00730E36">
        <w:rPr>
          <w:sz w:val="40"/>
          <w:szCs w:val="40"/>
        </w:rPr>
        <w:t>General Accountabilities:</w:t>
      </w:r>
    </w:p>
    <w:p w14:paraId="37F46275" w14:textId="77777777" w:rsidR="00036E55" w:rsidRPr="00036E55" w:rsidRDefault="00482FD9" w:rsidP="00036E55">
      <w:pPr>
        <w:spacing w:after="0" w:line="240" w:lineRule="auto"/>
        <w:rPr>
          <w:color w:val="786458"/>
        </w:rPr>
      </w:pPr>
    </w:p>
    <w:p w14:paraId="3571FDD8" w14:textId="77777777" w:rsidR="00036E55" w:rsidRPr="00730E36" w:rsidRDefault="009A5ADF" w:rsidP="00036E55">
      <w:pPr>
        <w:pStyle w:val="ListBullet"/>
        <w:numPr>
          <w:ilvl w:val="0"/>
          <w:numId w:val="3"/>
        </w:numPr>
        <w:jc w:val="both"/>
        <w:rPr>
          <w:sz w:val="22"/>
        </w:rPr>
      </w:pPr>
      <w:r w:rsidRPr="00730E36">
        <w:rPr>
          <w:sz w:val="22"/>
        </w:rPr>
        <w:t>Undertake additional relevant duties which fall under the general scope of the role, as directed by your Manager, raising any issues with capacity so they can be properly managed;</w:t>
      </w:r>
    </w:p>
    <w:p w14:paraId="71240B0D" w14:textId="77777777" w:rsidR="00036E55" w:rsidRPr="00730E36" w:rsidRDefault="00482FD9" w:rsidP="00036E55">
      <w:pPr>
        <w:pStyle w:val="ListBullet"/>
        <w:numPr>
          <w:ilvl w:val="0"/>
          <w:numId w:val="0"/>
        </w:numPr>
        <w:jc w:val="both"/>
        <w:rPr>
          <w:sz w:val="22"/>
        </w:rPr>
      </w:pPr>
    </w:p>
    <w:p w14:paraId="49EAAE5F" w14:textId="77777777" w:rsidR="00036E55" w:rsidRPr="00730E36" w:rsidRDefault="009A5ADF" w:rsidP="00036E55">
      <w:pPr>
        <w:pStyle w:val="ListBullet"/>
        <w:numPr>
          <w:ilvl w:val="0"/>
          <w:numId w:val="3"/>
        </w:numPr>
        <w:jc w:val="both"/>
        <w:rPr>
          <w:sz w:val="22"/>
        </w:rPr>
      </w:pPr>
      <w:r w:rsidRPr="00730E36">
        <w:rPr>
          <w:sz w:val="22"/>
        </w:rPr>
        <w:t xml:space="preserve">Remain knowledgeable about Group activities, benefiting from all forms of internal communication </w:t>
      </w:r>
      <w:proofErr w:type="gramStart"/>
      <w:r w:rsidRPr="00730E36">
        <w:rPr>
          <w:sz w:val="22"/>
        </w:rPr>
        <w:t>provided and acting as a positive ambassador for the Company at all times</w:t>
      </w:r>
      <w:proofErr w:type="gramEnd"/>
      <w:r w:rsidRPr="00730E36">
        <w:rPr>
          <w:sz w:val="22"/>
        </w:rPr>
        <w:t>;</w:t>
      </w:r>
    </w:p>
    <w:p w14:paraId="7B0742F3" w14:textId="572CB050" w:rsidR="00036E55" w:rsidRPr="00730E36" w:rsidRDefault="00482FD9" w:rsidP="66AA0AFC">
      <w:pPr>
        <w:pStyle w:val="ListBullet"/>
        <w:numPr>
          <w:ilvl w:val="0"/>
          <w:numId w:val="0"/>
        </w:numPr>
        <w:ind w:left="360" w:hanging="360"/>
        <w:jc w:val="both"/>
        <w:rPr>
          <w:sz w:val="22"/>
        </w:rPr>
      </w:pPr>
    </w:p>
    <w:p w14:paraId="60A04BD4" w14:textId="77777777" w:rsidR="00036E55" w:rsidRPr="00730E36" w:rsidRDefault="009A5ADF" w:rsidP="00036E55">
      <w:pPr>
        <w:pStyle w:val="ListBullet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Use materials and resources effectively and efficiently to minimise waste and consider the impact of potential actions on the environment before taking business decisions.</w:t>
      </w:r>
    </w:p>
    <w:p w14:paraId="0089DF0F" w14:textId="77777777" w:rsidR="00D06AD0" w:rsidRPr="00730E36" w:rsidRDefault="00482FD9" w:rsidP="00D06AD0">
      <w:pPr>
        <w:spacing w:after="0" w:line="240" w:lineRule="auto"/>
        <w:rPr>
          <w:sz w:val="22"/>
        </w:rPr>
      </w:pPr>
    </w:p>
    <w:p w14:paraId="443EEA29" w14:textId="77777777" w:rsidR="00D06AD0" w:rsidRPr="00730E36" w:rsidRDefault="009A5ADF" w:rsidP="00D06AD0">
      <w:pPr>
        <w:pStyle w:val="Heading2"/>
        <w:rPr>
          <w:color w:val="786458"/>
          <w:sz w:val="40"/>
          <w:szCs w:val="40"/>
        </w:rPr>
      </w:pPr>
      <w:r w:rsidRPr="00730E36">
        <w:rPr>
          <w:sz w:val="40"/>
          <w:szCs w:val="40"/>
        </w:rPr>
        <w:t>Qualifications and Experience:</w:t>
      </w:r>
    </w:p>
    <w:p w14:paraId="3CAA0B13" w14:textId="77777777" w:rsidR="00D06AD0" w:rsidRDefault="00482FD9" w:rsidP="00D06AD0">
      <w:pPr>
        <w:spacing w:after="0" w:line="240" w:lineRule="auto"/>
        <w:rPr>
          <w:color w:val="786458"/>
        </w:rPr>
      </w:pPr>
    </w:p>
    <w:p w14:paraId="6277B796" w14:textId="77777777" w:rsidR="005C0385" w:rsidRPr="00680DCB" w:rsidRDefault="009A5ADF" w:rsidP="00680DCB">
      <w:pPr>
        <w:pStyle w:val="ListBullet"/>
        <w:numPr>
          <w:ilvl w:val="0"/>
          <w:numId w:val="15"/>
        </w:numPr>
        <w:tabs>
          <w:tab w:val="left" w:pos="720"/>
        </w:tabs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 w:cs="82bpd"/>
          <w:sz w:val="22"/>
        </w:rPr>
        <w:t>Ideally MSCSI/MRICS qualified;</w:t>
      </w:r>
    </w:p>
    <w:p w14:paraId="25CACD9C" w14:textId="77777777" w:rsidR="00680DCB" w:rsidRPr="001601EF" w:rsidRDefault="00482FD9" w:rsidP="00680DCB">
      <w:pPr>
        <w:pStyle w:val="ListBullet"/>
        <w:numPr>
          <w:ilvl w:val="0"/>
          <w:numId w:val="0"/>
        </w:numPr>
        <w:tabs>
          <w:tab w:val="left" w:pos="720"/>
        </w:tabs>
        <w:ind w:left="360"/>
        <w:jc w:val="both"/>
        <w:rPr>
          <w:rFonts w:asciiTheme="minorHAnsi" w:hAnsiTheme="minorHAnsi"/>
          <w:b/>
          <w:sz w:val="22"/>
        </w:rPr>
      </w:pPr>
    </w:p>
    <w:p w14:paraId="703EA486" w14:textId="183441F2" w:rsidR="001601EF" w:rsidRPr="005B596B" w:rsidRDefault="66AA0AFC" w:rsidP="66AA0AFC">
      <w:pPr>
        <w:pStyle w:val="ListBullet"/>
        <w:numPr>
          <w:ilvl w:val="0"/>
          <w:numId w:val="15"/>
        </w:numPr>
        <w:tabs>
          <w:tab w:val="left" w:pos="720"/>
        </w:tabs>
        <w:jc w:val="both"/>
        <w:rPr>
          <w:rFonts w:asciiTheme="minorHAnsi" w:hAnsiTheme="minorHAnsi"/>
          <w:b/>
          <w:bCs/>
          <w:sz w:val="22"/>
        </w:rPr>
      </w:pPr>
      <w:r w:rsidRPr="66AA0AFC">
        <w:rPr>
          <w:rFonts w:asciiTheme="minorHAnsi" w:hAnsiTheme="minorHAnsi" w:cs="82bpd"/>
          <w:sz w:val="22"/>
        </w:rPr>
        <w:t>Experience of taking projects through the planning, pre-construction, construction and sales/leasing process;</w:t>
      </w:r>
    </w:p>
    <w:p w14:paraId="2E3A9421" w14:textId="77777777" w:rsidR="005C0385" w:rsidRDefault="00482FD9" w:rsidP="00680DCB">
      <w:pPr>
        <w:pStyle w:val="ListBullet"/>
        <w:numPr>
          <w:ilvl w:val="0"/>
          <w:numId w:val="0"/>
        </w:numPr>
        <w:tabs>
          <w:tab w:val="left" w:pos="720"/>
        </w:tabs>
        <w:ind w:left="360"/>
        <w:jc w:val="both"/>
        <w:rPr>
          <w:rFonts w:asciiTheme="minorHAnsi" w:hAnsiTheme="minorHAnsi"/>
          <w:sz w:val="22"/>
        </w:rPr>
      </w:pPr>
    </w:p>
    <w:p w14:paraId="4F79E55D" w14:textId="38372E57" w:rsidR="00A87070" w:rsidRDefault="66AA0AFC" w:rsidP="66AA0AFC">
      <w:pPr>
        <w:pStyle w:val="ListBullet"/>
        <w:numPr>
          <w:ilvl w:val="0"/>
          <w:numId w:val="15"/>
        </w:numPr>
        <w:tabs>
          <w:tab w:val="left" w:pos="720"/>
        </w:tabs>
        <w:jc w:val="both"/>
        <w:rPr>
          <w:rFonts w:asciiTheme="minorHAnsi" w:hAnsiTheme="minorHAnsi"/>
          <w:sz w:val="22"/>
        </w:rPr>
      </w:pPr>
      <w:r w:rsidRPr="66AA0AFC">
        <w:rPr>
          <w:rFonts w:asciiTheme="minorHAnsi" w:hAnsiTheme="minorHAnsi"/>
          <w:sz w:val="22"/>
        </w:rPr>
        <w:t xml:space="preserve">Proven experience of residential and/or commercial delivery, with circa </w:t>
      </w:r>
      <w:r w:rsidR="00E07C61">
        <w:rPr>
          <w:rFonts w:asciiTheme="minorHAnsi" w:hAnsiTheme="minorHAnsi"/>
          <w:sz w:val="22"/>
        </w:rPr>
        <w:t>7-10</w:t>
      </w:r>
      <w:r w:rsidRPr="66AA0AFC">
        <w:rPr>
          <w:rFonts w:asciiTheme="minorHAnsi" w:hAnsiTheme="minorHAnsi"/>
          <w:sz w:val="22"/>
        </w:rPr>
        <w:t xml:space="preserve"> years' experience, ideally on medium / large scale projects;</w:t>
      </w:r>
    </w:p>
    <w:p w14:paraId="12610019" w14:textId="77777777" w:rsidR="00A87070" w:rsidRDefault="00A87070" w:rsidP="00A87070">
      <w:pPr>
        <w:pStyle w:val="ListParagraph"/>
        <w:rPr>
          <w:rFonts w:asciiTheme="minorHAnsi" w:hAnsiTheme="minorHAnsi"/>
        </w:rPr>
      </w:pPr>
    </w:p>
    <w:p w14:paraId="268323A2" w14:textId="61E5FF24" w:rsidR="00C528CD" w:rsidRPr="00A87070" w:rsidRDefault="66AA0AFC" w:rsidP="66AA0AFC">
      <w:pPr>
        <w:pStyle w:val="ListBullet"/>
        <w:numPr>
          <w:ilvl w:val="0"/>
          <w:numId w:val="15"/>
        </w:numPr>
        <w:tabs>
          <w:tab w:val="left" w:pos="720"/>
        </w:tabs>
        <w:jc w:val="both"/>
        <w:rPr>
          <w:rFonts w:asciiTheme="minorHAnsi" w:hAnsiTheme="minorHAnsi"/>
          <w:sz w:val="22"/>
        </w:rPr>
      </w:pPr>
      <w:r w:rsidRPr="66AA0AFC">
        <w:rPr>
          <w:rFonts w:asciiTheme="minorHAnsi" w:hAnsiTheme="minorHAnsi"/>
          <w:sz w:val="22"/>
        </w:rPr>
        <w:t xml:space="preserve">Experience of PRS ideal, but not essential.  </w:t>
      </w:r>
    </w:p>
    <w:p w14:paraId="32595FC8" w14:textId="77777777" w:rsidR="001C05FE" w:rsidRDefault="00482FD9" w:rsidP="00725E39">
      <w:pPr>
        <w:pStyle w:val="ListParagraph"/>
        <w:rPr>
          <w:rFonts w:asciiTheme="minorHAnsi" w:hAnsiTheme="minorHAnsi"/>
          <w:b/>
        </w:rPr>
      </w:pPr>
    </w:p>
    <w:p w14:paraId="29BC5725" w14:textId="77777777" w:rsidR="00725E39" w:rsidRPr="00730E36" w:rsidRDefault="009A5ADF" w:rsidP="00725E39">
      <w:pPr>
        <w:pStyle w:val="Heading2"/>
        <w:rPr>
          <w:color w:val="786458"/>
          <w:sz w:val="40"/>
          <w:szCs w:val="40"/>
        </w:rPr>
      </w:pPr>
      <w:r w:rsidRPr="00730E36">
        <w:rPr>
          <w:sz w:val="40"/>
          <w:szCs w:val="40"/>
        </w:rPr>
        <w:t>Core Competencies of the Role:</w:t>
      </w:r>
    </w:p>
    <w:p w14:paraId="3967F7F7" w14:textId="77777777" w:rsidR="00725E39" w:rsidRDefault="00482FD9" w:rsidP="00725E39">
      <w:pPr>
        <w:spacing w:after="0" w:line="240" w:lineRule="auto"/>
        <w:rPr>
          <w:color w:val="786458"/>
        </w:rPr>
      </w:pPr>
    </w:p>
    <w:p w14:paraId="64A08A2E" w14:textId="77777777" w:rsidR="00725E39" w:rsidRPr="00680DCB" w:rsidRDefault="009A5ADF" w:rsidP="00725E39">
      <w:pPr>
        <w:pStyle w:val="ListBullet"/>
        <w:numPr>
          <w:ilvl w:val="0"/>
          <w:numId w:val="15"/>
        </w:numPr>
        <w:tabs>
          <w:tab w:val="left" w:pos="720"/>
        </w:tabs>
        <w:jc w:val="both"/>
        <w:rPr>
          <w:rFonts w:asciiTheme="minorHAnsi" w:hAnsiTheme="minorHAnsi"/>
          <w:b/>
          <w:sz w:val="22"/>
        </w:rPr>
      </w:pPr>
      <w:r>
        <w:rPr>
          <w:rFonts w:asciiTheme="minorHAnsi" w:eastAsia="Times New Roman" w:hAnsiTheme="minorHAnsi"/>
          <w:sz w:val="22"/>
          <w:lang w:eastAsia="en-GB"/>
        </w:rPr>
        <w:t>Clear and concise written and verbal communication skills;</w:t>
      </w:r>
    </w:p>
    <w:p w14:paraId="7DE2038A" w14:textId="77777777" w:rsidR="00680DCB" w:rsidRPr="00725E39" w:rsidRDefault="00482FD9" w:rsidP="00680DCB">
      <w:pPr>
        <w:pStyle w:val="ListBullet"/>
        <w:numPr>
          <w:ilvl w:val="0"/>
          <w:numId w:val="0"/>
        </w:numPr>
        <w:tabs>
          <w:tab w:val="left" w:pos="720"/>
        </w:tabs>
        <w:ind w:left="360"/>
        <w:jc w:val="both"/>
        <w:rPr>
          <w:rFonts w:asciiTheme="minorHAnsi" w:hAnsiTheme="minorHAnsi"/>
          <w:b/>
          <w:sz w:val="22"/>
        </w:rPr>
      </w:pPr>
    </w:p>
    <w:p w14:paraId="62AEB67F" w14:textId="77777777" w:rsidR="009722AB" w:rsidRDefault="009A5ADF" w:rsidP="00FC50BE">
      <w:pPr>
        <w:pStyle w:val="ListBullet"/>
        <w:numPr>
          <w:ilvl w:val="0"/>
          <w:numId w:val="15"/>
        </w:numPr>
        <w:jc w:val="both"/>
        <w:rPr>
          <w:sz w:val="22"/>
        </w:rPr>
      </w:pPr>
      <w:r>
        <w:rPr>
          <w:rFonts w:asciiTheme="minorHAnsi" w:hAnsiTheme="minorHAnsi"/>
          <w:sz w:val="22"/>
        </w:rPr>
        <w:t>Highly numerate with ability to apply these skills using Excel spreadsheet techniques for development schemes;</w:t>
      </w:r>
    </w:p>
    <w:p w14:paraId="639C1F98" w14:textId="77777777" w:rsidR="00FC50BE" w:rsidRDefault="00482FD9" w:rsidP="00680DCB">
      <w:pPr>
        <w:pStyle w:val="ListBullet"/>
        <w:numPr>
          <w:ilvl w:val="0"/>
          <w:numId w:val="0"/>
        </w:numPr>
        <w:ind w:left="360"/>
        <w:jc w:val="both"/>
        <w:rPr>
          <w:sz w:val="22"/>
        </w:rPr>
      </w:pPr>
    </w:p>
    <w:p w14:paraId="7774F4EA" w14:textId="77777777" w:rsidR="00FC50BE" w:rsidRDefault="009A5ADF" w:rsidP="00FC50BE">
      <w:pPr>
        <w:pStyle w:val="ListBullet"/>
        <w:numPr>
          <w:ilvl w:val="0"/>
          <w:numId w:val="15"/>
        </w:numPr>
        <w:jc w:val="both"/>
        <w:rPr>
          <w:sz w:val="22"/>
        </w:rPr>
      </w:pPr>
      <w:r>
        <w:rPr>
          <w:sz w:val="22"/>
        </w:rPr>
        <w:t>Commercial understanding of the legal process in respect of establishing Development Agreements and applying the terms of the DA’s once they become live;</w:t>
      </w:r>
    </w:p>
    <w:p w14:paraId="5CE4A805" w14:textId="77777777" w:rsidR="00E06A94" w:rsidRDefault="00482FD9" w:rsidP="00680DCB">
      <w:pPr>
        <w:pStyle w:val="ListBullet"/>
        <w:numPr>
          <w:ilvl w:val="0"/>
          <w:numId w:val="0"/>
        </w:numPr>
        <w:ind w:left="360"/>
        <w:jc w:val="both"/>
        <w:rPr>
          <w:sz w:val="22"/>
        </w:rPr>
      </w:pPr>
    </w:p>
    <w:p w14:paraId="4B0EC120" w14:textId="014BB490" w:rsidR="00FC50BE" w:rsidRDefault="009A5ADF" w:rsidP="00CA7D24">
      <w:pPr>
        <w:pStyle w:val="ListBullet"/>
        <w:numPr>
          <w:ilvl w:val="0"/>
          <w:numId w:val="15"/>
        </w:numPr>
        <w:jc w:val="both"/>
        <w:rPr>
          <w:sz w:val="22"/>
        </w:rPr>
      </w:pPr>
      <w:r w:rsidRPr="00EC266C">
        <w:rPr>
          <w:sz w:val="22"/>
        </w:rPr>
        <w:t>Understanding of Part V process</w:t>
      </w:r>
      <w:r w:rsidR="006F26E2">
        <w:rPr>
          <w:sz w:val="22"/>
        </w:rPr>
        <w:t>;</w:t>
      </w:r>
    </w:p>
    <w:p w14:paraId="7A56CF0E" w14:textId="77777777" w:rsidR="00CA7D24" w:rsidRPr="00EC266C" w:rsidRDefault="00CA7D24" w:rsidP="00CA7D24">
      <w:pPr>
        <w:pStyle w:val="ListBullet"/>
        <w:numPr>
          <w:ilvl w:val="0"/>
          <w:numId w:val="0"/>
        </w:numPr>
        <w:jc w:val="both"/>
        <w:rPr>
          <w:sz w:val="22"/>
        </w:rPr>
      </w:pPr>
    </w:p>
    <w:p w14:paraId="1013C564" w14:textId="3E6F593C" w:rsidR="00725E39" w:rsidRPr="00680DCB" w:rsidRDefault="009A5ADF" w:rsidP="000341F9">
      <w:pPr>
        <w:pStyle w:val="ListBullet"/>
        <w:numPr>
          <w:ilvl w:val="0"/>
          <w:numId w:val="15"/>
        </w:numPr>
        <w:jc w:val="both"/>
        <w:rPr>
          <w:rFonts w:asciiTheme="minorHAnsi" w:hAnsiTheme="minorHAnsi"/>
          <w:sz w:val="22"/>
        </w:rPr>
      </w:pPr>
      <w:r>
        <w:rPr>
          <w:sz w:val="22"/>
        </w:rPr>
        <w:t>Good understanding of the ‘due diligence’ process in respect of land development acquisition</w:t>
      </w:r>
      <w:r w:rsidR="006F26E2">
        <w:rPr>
          <w:sz w:val="22"/>
        </w:rPr>
        <w:t>.</w:t>
      </w:r>
      <w:bookmarkStart w:id="0" w:name="_GoBack"/>
      <w:bookmarkEnd w:id="0"/>
    </w:p>
    <w:sectPr w:rsidR="00725E39" w:rsidRPr="00680DCB" w:rsidSect="007E7C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52" w:right="1134" w:bottom="1191" w:left="1134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0E1F3" w14:textId="77777777" w:rsidR="00482FD9" w:rsidRDefault="00482FD9">
      <w:pPr>
        <w:spacing w:after="0" w:line="240" w:lineRule="auto"/>
      </w:pPr>
      <w:r>
        <w:separator/>
      </w:r>
    </w:p>
  </w:endnote>
  <w:endnote w:type="continuationSeparator" w:id="0">
    <w:p w14:paraId="29CE8E89" w14:textId="77777777" w:rsidR="00482FD9" w:rsidRDefault="00482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82bp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D5F18" w14:textId="77777777" w:rsidR="005D558D" w:rsidRDefault="005D55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B35B1" w14:textId="36750A7A" w:rsidR="00027D6F" w:rsidRPr="005D558D" w:rsidRDefault="00482FD9" w:rsidP="005D55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937FF" w14:textId="77777777" w:rsidR="005D558D" w:rsidRDefault="005D55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5ACD4" w14:textId="77777777" w:rsidR="00482FD9" w:rsidRDefault="00482FD9">
      <w:pPr>
        <w:spacing w:after="0" w:line="240" w:lineRule="auto"/>
      </w:pPr>
      <w:r>
        <w:separator/>
      </w:r>
    </w:p>
  </w:footnote>
  <w:footnote w:type="continuationSeparator" w:id="0">
    <w:p w14:paraId="3863E47E" w14:textId="77777777" w:rsidR="00482FD9" w:rsidRDefault="00482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05A67" w14:textId="77777777" w:rsidR="005D558D" w:rsidRDefault="005D55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3C11E" w14:textId="77777777" w:rsidR="00027D6F" w:rsidRDefault="009A5AD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225D122" wp14:editId="6FD4E362">
          <wp:simplePos x="0" y="0"/>
          <wp:positionH relativeFrom="margin">
            <wp:align>center</wp:align>
          </wp:positionH>
          <wp:positionV relativeFrom="paragraph">
            <wp:posOffset>3009</wp:posOffset>
          </wp:positionV>
          <wp:extent cx="2160000" cy="104230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intainLogo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1042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524253B" wp14:editId="66B5215F">
          <wp:simplePos x="0" y="0"/>
          <wp:positionH relativeFrom="margin">
            <wp:align>center</wp:align>
          </wp:positionH>
          <wp:positionV relativeFrom="page">
            <wp:posOffset>450376</wp:posOffset>
          </wp:positionV>
          <wp:extent cx="2160000" cy="104230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intainLogo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10423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BBA15" w14:textId="77777777" w:rsidR="005D558D" w:rsidRDefault="005D55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442006AE"/>
    <w:lvl w:ilvl="0">
      <w:start w:val="1"/>
      <w:numFmt w:val="decimal"/>
      <w:pStyle w:val="ListNumber2"/>
      <w:lvlText w:val="%1."/>
      <w:lvlJc w:val="left"/>
      <w:pPr>
        <w:ind w:left="644" w:hanging="360"/>
      </w:pPr>
    </w:lvl>
  </w:abstractNum>
  <w:abstractNum w:abstractNumId="1" w15:restartNumberingAfterBreak="0">
    <w:nsid w:val="FFFFFF83"/>
    <w:multiLevelType w:val="singleLevel"/>
    <w:tmpl w:val="C5FE29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79285C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9C4C8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02B3D7C"/>
    <w:multiLevelType w:val="hybridMultilevel"/>
    <w:tmpl w:val="186EAD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3444C"/>
    <w:multiLevelType w:val="hybridMultilevel"/>
    <w:tmpl w:val="9CEEF0F2"/>
    <w:lvl w:ilvl="0" w:tplc="FE025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6603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20D7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0610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A2A4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1ACD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72B8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BC78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68A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74459"/>
    <w:multiLevelType w:val="hybridMultilevel"/>
    <w:tmpl w:val="AC4A0F46"/>
    <w:lvl w:ilvl="0" w:tplc="6B8C4E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C0170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612192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FB0186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B3646B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4D8C64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D5E43C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E8400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A0A3E3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3679AC"/>
    <w:multiLevelType w:val="multilevel"/>
    <w:tmpl w:val="F7681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C043EA"/>
    <w:multiLevelType w:val="hybridMultilevel"/>
    <w:tmpl w:val="4E629D58"/>
    <w:lvl w:ilvl="0" w:tplc="FB28B808">
      <w:start w:val="1"/>
      <w:numFmt w:val="upperLetter"/>
      <w:pStyle w:val="Heading1"/>
      <w:lvlText w:val="%1."/>
      <w:lvlJc w:val="left"/>
      <w:pPr>
        <w:ind w:left="720" w:hanging="360"/>
      </w:pPr>
    </w:lvl>
    <w:lvl w:ilvl="1" w:tplc="ADC293D4" w:tentative="1">
      <w:start w:val="1"/>
      <w:numFmt w:val="lowerLetter"/>
      <w:lvlText w:val="%2."/>
      <w:lvlJc w:val="left"/>
      <w:pPr>
        <w:ind w:left="1440" w:hanging="360"/>
      </w:pPr>
    </w:lvl>
    <w:lvl w:ilvl="2" w:tplc="AA10CA60" w:tentative="1">
      <w:start w:val="1"/>
      <w:numFmt w:val="lowerRoman"/>
      <w:lvlText w:val="%3."/>
      <w:lvlJc w:val="right"/>
      <w:pPr>
        <w:ind w:left="2160" w:hanging="180"/>
      </w:pPr>
    </w:lvl>
    <w:lvl w:ilvl="3" w:tplc="4650F1B8" w:tentative="1">
      <w:start w:val="1"/>
      <w:numFmt w:val="decimal"/>
      <w:lvlText w:val="%4."/>
      <w:lvlJc w:val="left"/>
      <w:pPr>
        <w:ind w:left="2880" w:hanging="360"/>
      </w:pPr>
    </w:lvl>
    <w:lvl w:ilvl="4" w:tplc="B7F851B8" w:tentative="1">
      <w:start w:val="1"/>
      <w:numFmt w:val="lowerLetter"/>
      <w:lvlText w:val="%5."/>
      <w:lvlJc w:val="left"/>
      <w:pPr>
        <w:ind w:left="3600" w:hanging="360"/>
      </w:pPr>
    </w:lvl>
    <w:lvl w:ilvl="5" w:tplc="79BC7EBE" w:tentative="1">
      <w:start w:val="1"/>
      <w:numFmt w:val="lowerRoman"/>
      <w:lvlText w:val="%6."/>
      <w:lvlJc w:val="right"/>
      <w:pPr>
        <w:ind w:left="4320" w:hanging="180"/>
      </w:pPr>
    </w:lvl>
    <w:lvl w:ilvl="6" w:tplc="DFDC988A" w:tentative="1">
      <w:start w:val="1"/>
      <w:numFmt w:val="decimal"/>
      <w:lvlText w:val="%7."/>
      <w:lvlJc w:val="left"/>
      <w:pPr>
        <w:ind w:left="5040" w:hanging="360"/>
      </w:pPr>
    </w:lvl>
    <w:lvl w:ilvl="7" w:tplc="4B1E49F6" w:tentative="1">
      <w:start w:val="1"/>
      <w:numFmt w:val="lowerLetter"/>
      <w:lvlText w:val="%8."/>
      <w:lvlJc w:val="left"/>
      <w:pPr>
        <w:ind w:left="5760" w:hanging="360"/>
      </w:pPr>
    </w:lvl>
    <w:lvl w:ilvl="8" w:tplc="BD62CA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55132"/>
    <w:multiLevelType w:val="hybridMultilevel"/>
    <w:tmpl w:val="4C689242"/>
    <w:lvl w:ilvl="0" w:tplc="8C52C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5633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D803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66AD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FEBE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74A2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7EA8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58BF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0EDD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C1EB5"/>
    <w:multiLevelType w:val="hybridMultilevel"/>
    <w:tmpl w:val="5C76A32E"/>
    <w:lvl w:ilvl="0" w:tplc="783051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C56AD4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D6CEA1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206327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026629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9960DF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EA02C7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748B84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D804D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8A0CB6"/>
    <w:multiLevelType w:val="hybridMultilevel"/>
    <w:tmpl w:val="2F68F35A"/>
    <w:lvl w:ilvl="0" w:tplc="13C49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AB24A3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5486CE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0FA282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97AE5F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32813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160A77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BBA29F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A163D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8"/>
  </w:num>
  <w:num w:numId="7">
    <w:abstractNumId w:val="8"/>
  </w:num>
  <w:num w:numId="8">
    <w:abstractNumId w:val="3"/>
  </w:num>
  <w:num w:numId="9">
    <w:abstractNumId w:val="1"/>
  </w:num>
  <w:num w:numId="10">
    <w:abstractNumId w:val="1"/>
  </w:num>
  <w:num w:numId="11">
    <w:abstractNumId w:val="2"/>
  </w:num>
  <w:num w:numId="12">
    <w:abstractNumId w:val="2"/>
  </w:num>
  <w:num w:numId="13">
    <w:abstractNumId w:val="0"/>
  </w:num>
  <w:num w:numId="14">
    <w:abstractNumId w:val="0"/>
  </w:num>
  <w:num w:numId="15">
    <w:abstractNumId w:val="11"/>
  </w:num>
  <w:num w:numId="16">
    <w:abstractNumId w:val="3"/>
  </w:num>
  <w:num w:numId="17">
    <w:abstractNumId w:val="6"/>
  </w:num>
  <w:num w:numId="18">
    <w:abstractNumId w:val="7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51"/>
    <w:rsid w:val="00051C57"/>
    <w:rsid w:val="00247750"/>
    <w:rsid w:val="002C100F"/>
    <w:rsid w:val="003E2EBA"/>
    <w:rsid w:val="003E6106"/>
    <w:rsid w:val="00482FD9"/>
    <w:rsid w:val="004D5FE7"/>
    <w:rsid w:val="005D558D"/>
    <w:rsid w:val="006F26E2"/>
    <w:rsid w:val="007D3ED7"/>
    <w:rsid w:val="00904BAD"/>
    <w:rsid w:val="009A5ADF"/>
    <w:rsid w:val="009F3200"/>
    <w:rsid w:val="00A87070"/>
    <w:rsid w:val="00AA3693"/>
    <w:rsid w:val="00BA2351"/>
    <w:rsid w:val="00BF7F35"/>
    <w:rsid w:val="00CA7D24"/>
    <w:rsid w:val="00CE6E30"/>
    <w:rsid w:val="00DB2810"/>
    <w:rsid w:val="00DD5B9B"/>
    <w:rsid w:val="00E07C61"/>
    <w:rsid w:val="00EF49C7"/>
    <w:rsid w:val="00FB13A5"/>
    <w:rsid w:val="66AA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72D25"/>
  <w15:docId w15:val="{72F19DA7-9956-48C6-A4BF-E52659E4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E55"/>
    <w:rPr>
      <w:rFonts w:ascii="Calibri" w:hAnsi="Calibri"/>
      <w:sz w:val="24"/>
    </w:rPr>
  </w:style>
  <w:style w:type="paragraph" w:styleId="Heading1">
    <w:name w:val="heading 1"/>
    <w:basedOn w:val="Title"/>
    <w:next w:val="Normal"/>
    <w:link w:val="Heading1Char"/>
    <w:uiPriority w:val="1"/>
    <w:qFormat/>
    <w:rsid w:val="00C048F1"/>
    <w:pPr>
      <w:numPr>
        <w:numId w:val="7"/>
      </w:numPr>
      <w:ind w:left="227" w:hanging="227"/>
      <w:outlineLvl w:val="0"/>
    </w:pPr>
    <w:rPr>
      <w:b/>
      <w:sz w:val="72"/>
    </w:rPr>
  </w:style>
  <w:style w:type="paragraph" w:styleId="Heading2">
    <w:name w:val="heading 2"/>
    <w:basedOn w:val="Normal"/>
    <w:next w:val="Normal"/>
    <w:link w:val="Heading2Char"/>
    <w:uiPriority w:val="1"/>
    <w:qFormat/>
    <w:rsid w:val="00C048F1"/>
    <w:pPr>
      <w:spacing w:after="0" w:line="240" w:lineRule="auto"/>
      <w:outlineLvl w:val="1"/>
    </w:pPr>
    <w:rPr>
      <w:color w:val="786458" w:themeColor="accent2"/>
      <w:sz w:val="42"/>
      <w:szCs w:val="42"/>
      <w:lang w:eastAsia="en-GB"/>
    </w:rPr>
  </w:style>
  <w:style w:type="paragraph" w:styleId="Heading3">
    <w:name w:val="heading 3"/>
    <w:basedOn w:val="BodyText"/>
    <w:next w:val="Normal"/>
    <w:link w:val="Heading3Char"/>
    <w:uiPriority w:val="1"/>
    <w:rsid w:val="00C048F1"/>
    <w:pPr>
      <w:spacing w:after="0" w:line="240" w:lineRule="auto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A38B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Verdana" w:eastAsiaTheme="majorEastAsia" w:hAnsi="Verdana" w:cstheme="majorBidi"/>
      <w:szCs w:val="24"/>
    </w:rPr>
  </w:style>
  <w:style w:type="paragraph" w:styleId="Header">
    <w:name w:val="header"/>
    <w:basedOn w:val="Normal"/>
    <w:link w:val="HeaderChar"/>
    <w:unhideWhenUsed/>
    <w:rsid w:val="004F37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70B"/>
  </w:style>
  <w:style w:type="paragraph" w:styleId="Footer">
    <w:name w:val="footer"/>
    <w:basedOn w:val="Normal"/>
    <w:link w:val="FooterChar"/>
    <w:uiPriority w:val="99"/>
    <w:unhideWhenUsed/>
    <w:rsid w:val="00674EA2"/>
    <w:pPr>
      <w:tabs>
        <w:tab w:val="center" w:pos="4513"/>
        <w:tab w:val="right" w:pos="9026"/>
      </w:tabs>
      <w:spacing w:after="0" w:line="240" w:lineRule="auto"/>
      <w:jc w:val="center"/>
    </w:pPr>
    <w:rPr>
      <w:color w:val="786458" w:themeColor="accent2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74EA2"/>
    <w:rPr>
      <w:rFonts w:ascii="Calibri" w:hAnsi="Calibri"/>
      <w:color w:val="786458" w:themeColor="accent2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70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048F1"/>
    <w:pPr>
      <w:spacing w:after="240" w:line="240" w:lineRule="auto"/>
    </w:pPr>
    <w:rPr>
      <w:rFonts w:eastAsia="Times New Roman" w:cs="Times New Roman"/>
      <w:color w:val="55585A"/>
      <w:sz w:val="58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C048F1"/>
    <w:rPr>
      <w:rFonts w:ascii="Calibri" w:eastAsia="Times New Roman" w:hAnsi="Calibri" w:cs="Times New Roman"/>
      <w:color w:val="55585A"/>
      <w:sz w:val="58"/>
      <w:szCs w:val="52"/>
      <w:lang w:eastAsia="en-GB"/>
    </w:rPr>
  </w:style>
  <w:style w:type="paragraph" w:styleId="NoSpacing">
    <w:name w:val="No Spacing"/>
    <w:uiPriority w:val="1"/>
    <w:qFormat/>
    <w:rsid w:val="004F370B"/>
    <w:pPr>
      <w:spacing w:after="0" w:line="240" w:lineRule="auto"/>
    </w:pPr>
    <w:rPr>
      <w:rFonts w:ascii="Calibri" w:hAnsi="Calibri"/>
      <w:sz w:val="24"/>
    </w:rPr>
  </w:style>
  <w:style w:type="character" w:styleId="Hyperlink">
    <w:name w:val="Hyperlink"/>
    <w:basedOn w:val="DefaultParagraphFont"/>
    <w:uiPriority w:val="99"/>
    <w:unhideWhenUsed/>
    <w:rsid w:val="00674EA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86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58671C"/>
    <w:pPr>
      <w:spacing w:after="0" w:line="240" w:lineRule="auto"/>
    </w:pPr>
    <w:rPr>
      <w:szCs w:val="24"/>
    </w:rPr>
  </w:style>
  <w:style w:type="paragraph" w:customStyle="1" w:styleId="TableTitles">
    <w:name w:val="Table Titles"/>
    <w:basedOn w:val="Normal"/>
    <w:rsid w:val="0058671C"/>
    <w:pPr>
      <w:spacing w:after="0" w:line="240" w:lineRule="auto"/>
    </w:pPr>
    <w:rPr>
      <w:color w:val="FAFAFA"/>
      <w:sz w:val="26"/>
      <w:szCs w:val="26"/>
    </w:rPr>
  </w:style>
  <w:style w:type="table" w:customStyle="1" w:styleId="Quintain">
    <w:name w:val="Quintain"/>
    <w:basedOn w:val="TableNormal"/>
    <w:uiPriority w:val="99"/>
    <w:rsid w:val="00191DE1"/>
    <w:pPr>
      <w:spacing w:after="0" w:line="240" w:lineRule="auto"/>
    </w:pPr>
    <w:rPr>
      <w:rFonts w:ascii="Calibri" w:hAnsi="Calibri"/>
      <w:color w:val="000000" w:themeColor="text1"/>
      <w:sz w:val="24"/>
    </w:rPr>
    <w:tblPr>
      <w:tblStyleRowBandSize w:val="1"/>
    </w:tblPr>
    <w:tblStylePr w:type="firstRow">
      <w:pPr>
        <w:jc w:val="left"/>
      </w:pPr>
      <w:rPr>
        <w:rFonts w:ascii="Calibri" w:hAnsi="Calibri"/>
        <w:color w:val="FAFAFA"/>
        <w:sz w:val="26"/>
      </w:rPr>
      <w:tblPr/>
      <w:trPr>
        <w:tblHeader/>
      </w:trPr>
      <w:tcPr>
        <w:tcBorders>
          <w:insideH w:val="single" w:sz="4" w:space="0" w:color="FFFFFF" w:themeColor="background2"/>
          <w:insideV w:val="single" w:sz="4" w:space="0" w:color="FFFFFF" w:themeColor="background2"/>
        </w:tcBorders>
        <w:shd w:val="clear" w:color="auto" w:fill="786458" w:themeFill="accent2"/>
        <w:vAlign w:val="center"/>
      </w:tcPr>
    </w:tblStylePr>
    <w:tblStylePr w:type="band1Horz">
      <w:pPr>
        <w:jc w:val="left"/>
      </w:pPr>
      <w:rPr>
        <w:rFonts w:ascii="Calibri" w:hAnsi="Calibri"/>
        <w:sz w:val="24"/>
      </w:rPr>
      <w:tblPr/>
      <w:tcPr>
        <w:tcBorders>
          <w:insideH w:val="single" w:sz="4" w:space="0" w:color="FFFFFF" w:themeColor="background2"/>
          <w:insideV w:val="single" w:sz="4" w:space="0" w:color="FFFFFF" w:themeColor="background2"/>
        </w:tcBorders>
        <w:shd w:val="clear" w:color="auto" w:fill="E5DFDC" w:themeFill="accent2" w:themeFillTint="33"/>
        <w:vAlign w:val="center"/>
      </w:tcPr>
    </w:tblStylePr>
    <w:tblStylePr w:type="band2Horz">
      <w:pPr>
        <w:jc w:val="left"/>
      </w:pPr>
      <w:rPr>
        <w:rFonts w:ascii="Calibri" w:hAnsi="Calibri"/>
        <w:sz w:val="24"/>
      </w:rPr>
      <w:tblPr/>
      <w:tcPr>
        <w:tcBorders>
          <w:insideH w:val="single" w:sz="4" w:space="0" w:color="FFFFFF" w:themeColor="background2"/>
          <w:insideV w:val="single" w:sz="4" w:space="0" w:color="FFFFFF" w:themeColor="background2"/>
        </w:tcBorders>
        <w:shd w:val="clear" w:color="auto" w:fill="E5DFDC" w:themeFill="accent2" w:themeFillTint="33"/>
        <w:vAlign w:val="center"/>
      </w:tcPr>
    </w:tblStylePr>
  </w:style>
  <w:style w:type="paragraph" w:styleId="ListBullet">
    <w:name w:val="List Bullet"/>
    <w:basedOn w:val="Normal"/>
    <w:uiPriority w:val="2"/>
    <w:qFormat/>
    <w:rsid w:val="00C048F1"/>
    <w:pPr>
      <w:numPr>
        <w:numId w:val="8"/>
      </w:numPr>
      <w:spacing w:after="0" w:line="240" w:lineRule="auto"/>
      <w:contextualSpacing/>
    </w:pPr>
  </w:style>
  <w:style w:type="paragraph" w:styleId="ListParagraph">
    <w:name w:val="List Paragraph"/>
    <w:basedOn w:val="Normal"/>
    <w:uiPriority w:val="34"/>
    <w:qFormat/>
    <w:rsid w:val="00C048F1"/>
    <w:pPr>
      <w:spacing w:after="0" w:line="240" w:lineRule="auto"/>
      <w:ind w:left="720"/>
      <w:contextualSpacing/>
    </w:pPr>
    <w:rPr>
      <w:rFonts w:ascii="Trebuchet MS" w:eastAsia="Times" w:hAnsi="Trebuchet MS" w:cs="Times New Roman"/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C048F1"/>
    <w:rPr>
      <w:rFonts w:ascii="Calibri" w:eastAsia="Times New Roman" w:hAnsi="Calibri" w:cs="Times New Roman"/>
      <w:color w:val="55585A"/>
      <w:sz w:val="72"/>
      <w:szCs w:val="52"/>
      <w:lang w:eastAsia="en-GB"/>
    </w:rPr>
  </w:style>
  <w:style w:type="character" w:customStyle="1" w:styleId="Heading2Char">
    <w:name w:val="Heading 2 Char"/>
    <w:basedOn w:val="DefaultParagraphFont"/>
    <w:link w:val="Heading2"/>
    <w:uiPriority w:val="1"/>
    <w:rsid w:val="00C048F1"/>
    <w:rPr>
      <w:rFonts w:ascii="Calibri" w:hAnsi="Calibri"/>
      <w:color w:val="786458" w:themeColor="accent2"/>
      <w:sz w:val="42"/>
      <w:szCs w:val="42"/>
      <w:lang w:eastAsia="en-GB"/>
    </w:rPr>
  </w:style>
  <w:style w:type="character" w:customStyle="1" w:styleId="Heading3Char">
    <w:name w:val="Heading 3 Char"/>
    <w:basedOn w:val="DefaultParagraphFont"/>
    <w:link w:val="Heading3"/>
    <w:uiPriority w:val="1"/>
    <w:rsid w:val="00C048F1"/>
    <w:rPr>
      <w:rFonts w:ascii="Calibri" w:hAnsi="Calibri"/>
      <w:b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048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48F1"/>
    <w:rPr>
      <w:rFonts w:ascii="Calibri" w:hAnsi="Calibri"/>
      <w:sz w:val="24"/>
    </w:rPr>
  </w:style>
  <w:style w:type="paragraph" w:styleId="ListBullet2">
    <w:name w:val="List Bullet 2"/>
    <w:basedOn w:val="Normal"/>
    <w:uiPriority w:val="2"/>
    <w:qFormat/>
    <w:rsid w:val="00C048F1"/>
    <w:pPr>
      <w:numPr>
        <w:numId w:val="10"/>
      </w:numPr>
      <w:spacing w:after="240" w:line="240" w:lineRule="auto"/>
      <w:contextualSpacing/>
    </w:pPr>
    <w:rPr>
      <w:color w:val="786458" w:themeColor="accent2"/>
    </w:rPr>
  </w:style>
  <w:style w:type="paragraph" w:styleId="ListNumber">
    <w:name w:val="List Number"/>
    <w:basedOn w:val="Normal"/>
    <w:uiPriority w:val="2"/>
    <w:qFormat/>
    <w:rsid w:val="00C048F1"/>
    <w:pPr>
      <w:numPr>
        <w:numId w:val="12"/>
      </w:numPr>
      <w:spacing w:after="0" w:line="240" w:lineRule="auto"/>
      <w:contextualSpacing/>
    </w:pPr>
  </w:style>
  <w:style w:type="paragraph" w:styleId="ListNumber2">
    <w:name w:val="List Number 2"/>
    <w:basedOn w:val="Normal"/>
    <w:uiPriority w:val="2"/>
    <w:qFormat/>
    <w:rsid w:val="00C048F1"/>
    <w:pPr>
      <w:numPr>
        <w:numId w:val="14"/>
      </w:numPr>
      <w:spacing w:after="240" w:line="240" w:lineRule="auto"/>
      <w:contextualSpacing/>
    </w:pPr>
    <w:rPr>
      <w:color w:val="54585A" w:themeColor="accent1"/>
    </w:rPr>
  </w:style>
  <w:style w:type="paragraph" w:styleId="Subtitle">
    <w:name w:val="Subtitle"/>
    <w:basedOn w:val="Normal"/>
    <w:next w:val="Normal"/>
    <w:link w:val="SubtitleChar"/>
    <w:uiPriority w:val="11"/>
    <w:rsid w:val="00C048F1"/>
    <w:pPr>
      <w:numPr>
        <w:ilvl w:val="1"/>
      </w:numPr>
      <w:spacing w:after="0" w:line="240" w:lineRule="auto"/>
    </w:pPr>
    <w:rPr>
      <w:rFonts w:eastAsiaTheme="majorEastAsia" w:cstheme="majorBidi"/>
      <w:iCs/>
      <w:color w:val="786458" w:themeColor="accent2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48F1"/>
    <w:rPr>
      <w:rFonts w:ascii="Calibri" w:eastAsiaTheme="majorEastAsia" w:hAnsi="Calibri" w:cstheme="majorBidi"/>
      <w:iCs/>
      <w:color w:val="786458" w:themeColor="accent2"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Quintain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54585A"/>
      </a:accent1>
      <a:accent2>
        <a:srgbClr val="786458"/>
      </a:accent2>
      <a:accent3>
        <a:srgbClr val="C5B783"/>
      </a:accent3>
      <a:accent4>
        <a:srgbClr val="9EA2A2"/>
      </a:accent4>
      <a:accent5>
        <a:srgbClr val="5D7975"/>
      </a:accent5>
      <a:accent6>
        <a:srgbClr val="54585A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E41FF0406C30459C5CE9C070FCFF1D" ma:contentTypeVersion="9" ma:contentTypeDescription="Create a new document." ma:contentTypeScope="" ma:versionID="6371849f3302e0e317dc72aab8a54388">
  <xsd:schema xmlns:xsd="http://www.w3.org/2001/XMLSchema" xmlns:xs="http://www.w3.org/2001/XMLSchema" xmlns:p="http://schemas.microsoft.com/office/2006/metadata/properties" xmlns:ns3="0fffb20f-daaa-4e12-8223-a8f45838e81c" xmlns:ns4="8a3e8c2e-b546-4846-bf9f-b2205b824ec7" targetNamespace="http://schemas.microsoft.com/office/2006/metadata/properties" ma:root="true" ma:fieldsID="c1a6210eb8f8bbd5374ef53eeaa788e2" ns3:_="" ns4:_="">
    <xsd:import namespace="0fffb20f-daaa-4e12-8223-a8f45838e81c"/>
    <xsd:import namespace="8a3e8c2e-b546-4846-bf9f-b2205b824e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fb20f-daaa-4e12-8223-a8f45838e8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e8c2e-b546-4846-bf9f-b2205b824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D12FA-5BA0-44CB-80A7-4CC46964C4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4A8661-5708-4430-82DD-B0A6A4D1EB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FF7CCA-F6E1-4845-8777-4526EEBBB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fb20f-daaa-4e12-8223-a8f45838e81c"/>
    <ds:schemaRef ds:uri="8a3e8c2e-b546-4846-bf9f-b2205b824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49C468-EA33-4BE7-88FD-45DDE2C9E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 Daly</dc:creator>
  <cp:lastModifiedBy>Clair Daly</cp:lastModifiedBy>
  <cp:revision>4</cp:revision>
  <dcterms:created xsi:type="dcterms:W3CDTF">2019-10-16T16:03:00Z</dcterms:created>
  <dcterms:modified xsi:type="dcterms:W3CDTF">2019-10-16T16:05:00Z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0x01010001E41FF0406C30459C5CE9C070FCFF1D</vt:lpwstr>
  </property>
</Properties>
</file>